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1E01" w:rsidRPr="008A5DA4" w:rsidRDefault="008A5DA4" w:rsidP="008A5DA4">
      <w:pPr>
        <w:jc w:val="center"/>
        <w:rPr>
          <w:sz w:val="32"/>
          <w:szCs w:val="32"/>
        </w:rPr>
      </w:pPr>
      <w:r w:rsidRPr="008A5DA4">
        <w:rPr>
          <w:sz w:val="32"/>
          <w:szCs w:val="32"/>
        </w:rPr>
        <w:t>Nota Fiscal Armazém</w:t>
      </w:r>
    </w:p>
    <w:p w:rsidR="008A5DA4" w:rsidRDefault="008A5DA4" w:rsidP="008A5DA4">
      <w:pPr>
        <w:jc w:val="center"/>
      </w:pPr>
    </w:p>
    <w:p w:rsidR="00F46C0A" w:rsidRPr="00FB42DD" w:rsidRDefault="00F46C0A" w:rsidP="00F46C0A">
      <w:pPr>
        <w:shd w:val="clear" w:color="auto" w:fill="FFFFFF"/>
        <w:spacing w:before="150"/>
        <w:rPr>
          <w:rFonts w:ascii="Arial" w:eastAsia="Times New Roman" w:hAnsi="Arial" w:cs="Arial"/>
          <w:color w:val="333333"/>
          <w:sz w:val="21"/>
          <w:szCs w:val="21"/>
          <w:lang w:eastAsia="pt-BR"/>
        </w:rPr>
      </w:pPr>
      <w:r w:rsidRPr="00FB42DD">
        <w:rPr>
          <w:rFonts w:ascii="Arial" w:eastAsia="Times New Roman" w:hAnsi="Arial" w:cs="Arial"/>
          <w:color w:val="333333"/>
          <w:sz w:val="21"/>
          <w:szCs w:val="21"/>
          <w:lang w:eastAsia="pt-BR"/>
        </w:rPr>
        <w:t xml:space="preserve">Exemplo: Nota é do fornecedor da Bahia, e entra com </w:t>
      </w:r>
      <w:proofErr w:type="spellStart"/>
      <w:r w:rsidRPr="00FB42DD">
        <w:rPr>
          <w:rFonts w:ascii="Arial" w:eastAsia="Times New Roman" w:hAnsi="Arial" w:cs="Arial"/>
          <w:color w:val="333333"/>
          <w:sz w:val="21"/>
          <w:szCs w:val="21"/>
          <w:lang w:eastAsia="pt-BR"/>
        </w:rPr>
        <w:t>cfop</w:t>
      </w:r>
      <w:proofErr w:type="spellEnd"/>
      <w:r w:rsidRPr="00FB42DD">
        <w:rPr>
          <w:rFonts w:ascii="Arial" w:eastAsia="Times New Roman" w:hAnsi="Arial" w:cs="Arial"/>
          <w:color w:val="333333"/>
          <w:sz w:val="21"/>
          <w:szCs w:val="21"/>
          <w:lang w:eastAsia="pt-BR"/>
        </w:rPr>
        <w:t xml:space="preserve"> de merc</w:t>
      </w:r>
      <w:r w:rsidR="002225B8">
        <w:rPr>
          <w:rFonts w:ascii="Arial" w:eastAsia="Times New Roman" w:hAnsi="Arial" w:cs="Arial"/>
          <w:color w:val="333333"/>
          <w:sz w:val="21"/>
          <w:szCs w:val="21"/>
          <w:lang w:eastAsia="pt-BR"/>
        </w:rPr>
        <w:t>a</w:t>
      </w:r>
      <w:r w:rsidRPr="00FB42DD">
        <w:rPr>
          <w:rFonts w:ascii="Arial" w:eastAsia="Times New Roman" w:hAnsi="Arial" w:cs="Arial"/>
          <w:color w:val="333333"/>
          <w:sz w:val="21"/>
          <w:szCs w:val="21"/>
          <w:lang w:eastAsia="pt-BR"/>
        </w:rPr>
        <w:t xml:space="preserve">doria que não transita. Cliente busca a mercadoria em um armazém de São Paulo, com nota onde existe </w:t>
      </w:r>
      <w:proofErr w:type="spellStart"/>
      <w:r w:rsidRPr="00FB42DD">
        <w:rPr>
          <w:rFonts w:ascii="Arial" w:eastAsia="Times New Roman" w:hAnsi="Arial" w:cs="Arial"/>
          <w:color w:val="333333"/>
          <w:sz w:val="21"/>
          <w:szCs w:val="21"/>
          <w:lang w:eastAsia="pt-BR"/>
        </w:rPr>
        <w:t>qtde</w:t>
      </w:r>
      <w:proofErr w:type="spellEnd"/>
      <w:r w:rsidRPr="00FB42DD">
        <w:rPr>
          <w:rFonts w:ascii="Arial" w:eastAsia="Times New Roman" w:hAnsi="Arial" w:cs="Arial"/>
          <w:color w:val="333333"/>
          <w:sz w:val="21"/>
          <w:szCs w:val="21"/>
          <w:lang w:eastAsia="pt-BR"/>
        </w:rPr>
        <w:t xml:space="preserve"> e valor, sem pagamento e </w:t>
      </w:r>
      <w:proofErr w:type="spellStart"/>
      <w:r w:rsidRPr="00FB42DD">
        <w:rPr>
          <w:rFonts w:ascii="Arial" w:eastAsia="Times New Roman" w:hAnsi="Arial" w:cs="Arial"/>
          <w:color w:val="333333"/>
          <w:sz w:val="21"/>
          <w:szCs w:val="21"/>
          <w:lang w:eastAsia="pt-BR"/>
        </w:rPr>
        <w:t>cfop</w:t>
      </w:r>
      <w:proofErr w:type="spellEnd"/>
      <w:r w:rsidRPr="00FB42DD">
        <w:rPr>
          <w:rFonts w:ascii="Arial" w:eastAsia="Times New Roman" w:hAnsi="Arial" w:cs="Arial"/>
          <w:color w:val="333333"/>
          <w:sz w:val="21"/>
          <w:szCs w:val="21"/>
          <w:lang w:eastAsia="pt-BR"/>
        </w:rPr>
        <w:t xml:space="preserve"> de remessa de mercadoria por conta e ordem de terceiros, e com destaque de ICMS.</w:t>
      </w:r>
    </w:p>
    <w:p w:rsidR="00F46C0A" w:rsidRDefault="00F46C0A" w:rsidP="00F46C0A">
      <w:pPr>
        <w:shd w:val="clear" w:color="auto" w:fill="FFFFFF"/>
        <w:spacing w:before="150"/>
        <w:rPr>
          <w:rFonts w:ascii="Arial" w:eastAsia="Times New Roman" w:hAnsi="Arial" w:cs="Arial"/>
          <w:color w:val="333333"/>
          <w:sz w:val="21"/>
          <w:szCs w:val="21"/>
          <w:lang w:eastAsia="pt-BR"/>
        </w:rPr>
      </w:pPr>
      <w:r w:rsidRPr="00FB42DD">
        <w:rPr>
          <w:rFonts w:ascii="Arial" w:eastAsia="Times New Roman" w:hAnsi="Arial" w:cs="Arial"/>
          <w:color w:val="333333"/>
          <w:sz w:val="21"/>
          <w:szCs w:val="21"/>
          <w:lang w:eastAsia="pt-BR"/>
        </w:rPr>
        <w:t>Solução: A primeira nota deverá entrar como uma triangulação em terceiros, ou seja, nota entra na empresa, mas é criado uma nota de remessa para terceiros automaticamente, pois a mercadoria não está na empresa.</w:t>
      </w:r>
      <w:r>
        <w:rPr>
          <w:rFonts w:ascii="Arial" w:eastAsia="Times New Roman" w:hAnsi="Arial" w:cs="Arial"/>
          <w:color w:val="333333"/>
          <w:sz w:val="21"/>
          <w:szCs w:val="21"/>
          <w:lang w:eastAsia="pt-BR"/>
        </w:rPr>
        <w:t xml:space="preserve"> </w:t>
      </w:r>
      <w:r w:rsidRPr="00FB42DD">
        <w:rPr>
          <w:rFonts w:ascii="Arial" w:eastAsia="Times New Roman" w:hAnsi="Arial" w:cs="Arial"/>
          <w:color w:val="333333"/>
          <w:sz w:val="21"/>
          <w:szCs w:val="21"/>
          <w:lang w:eastAsia="pt-BR"/>
        </w:rPr>
        <w:t>Na observação fiscal deverá ser registrado os dados do Armazém, e o mesmo será apresentado no livro fiscal. </w:t>
      </w:r>
    </w:p>
    <w:p w:rsidR="00F46C0A" w:rsidRDefault="00FF031D" w:rsidP="00FF031D">
      <w:pPr>
        <w:pStyle w:val="PargrafodaLista"/>
        <w:numPr>
          <w:ilvl w:val="0"/>
          <w:numId w:val="1"/>
        </w:numPr>
        <w:shd w:val="clear" w:color="auto" w:fill="FFFFFF"/>
        <w:spacing w:before="150"/>
        <w:rPr>
          <w:rFonts w:ascii="Arial" w:eastAsia="Times New Roman" w:hAnsi="Arial" w:cs="Arial"/>
          <w:color w:val="333333"/>
          <w:sz w:val="21"/>
          <w:szCs w:val="21"/>
          <w:lang w:eastAsia="pt-BR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pt-BR"/>
        </w:rPr>
        <w:t>Incluir g</w:t>
      </w:r>
      <w:r w:rsidRPr="00FF031D">
        <w:rPr>
          <w:rFonts w:ascii="Arial" w:eastAsia="Times New Roman" w:hAnsi="Arial" w:cs="Arial"/>
          <w:color w:val="333333"/>
          <w:sz w:val="21"/>
          <w:szCs w:val="21"/>
          <w:lang w:eastAsia="pt-BR"/>
        </w:rPr>
        <w:t xml:space="preserve">rupo de despesa </w:t>
      </w:r>
      <w:r>
        <w:rPr>
          <w:rFonts w:ascii="Arial" w:eastAsia="Times New Roman" w:hAnsi="Arial" w:cs="Arial"/>
          <w:color w:val="333333"/>
          <w:sz w:val="21"/>
          <w:szCs w:val="21"/>
          <w:lang w:eastAsia="pt-BR"/>
        </w:rPr>
        <w:t>de triangulação:</w:t>
      </w:r>
    </w:p>
    <w:p w:rsidR="00FF031D" w:rsidRDefault="00FF031D" w:rsidP="00FF031D">
      <w:pPr>
        <w:pStyle w:val="PargrafodaLista"/>
        <w:shd w:val="clear" w:color="auto" w:fill="FFFFFF"/>
        <w:spacing w:before="150"/>
        <w:rPr>
          <w:rFonts w:eastAsia="Calibri" w:cs="Times New Roman"/>
        </w:rPr>
      </w:pPr>
      <w:r>
        <w:rPr>
          <w:rFonts w:eastAsia="Calibri" w:cs="Times New Roman"/>
        </w:rPr>
        <w:object w:dxaOrig="15075" w:dyaOrig="6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3.9pt;height:149.3pt" o:ole="">
            <v:imagedata r:id="rId5" o:title=""/>
          </v:shape>
          <o:OLEObject Type="Embed" ProgID="PBrush" ShapeID="_x0000_i1025" DrawAspect="Content" ObjectID="_1593264958" r:id="rId6"/>
        </w:object>
      </w:r>
    </w:p>
    <w:p w:rsidR="00FF031D" w:rsidRDefault="00FF031D" w:rsidP="00FF031D">
      <w:pPr>
        <w:pStyle w:val="PargrafodaLista"/>
        <w:shd w:val="clear" w:color="auto" w:fill="FFFFFF"/>
        <w:spacing w:before="150"/>
        <w:rPr>
          <w:rFonts w:eastAsia="Calibri" w:cs="Times New Roman"/>
        </w:rPr>
      </w:pPr>
    </w:p>
    <w:p w:rsidR="00FF031D" w:rsidRDefault="00FF031D" w:rsidP="00FF031D">
      <w:pPr>
        <w:pStyle w:val="PargrafodaLista"/>
        <w:numPr>
          <w:ilvl w:val="0"/>
          <w:numId w:val="1"/>
        </w:numPr>
        <w:shd w:val="clear" w:color="auto" w:fill="FFFFFF"/>
        <w:spacing w:before="150"/>
        <w:rPr>
          <w:rFonts w:eastAsia="Calibri" w:cs="Times New Roman"/>
        </w:rPr>
      </w:pPr>
      <w:r>
        <w:rPr>
          <w:rFonts w:eastAsia="Calibri" w:cs="Times New Roman"/>
        </w:rPr>
        <w:t>Cadastrar fornecedor para triangulação</w:t>
      </w:r>
    </w:p>
    <w:p w:rsidR="00FF031D" w:rsidRDefault="00FF031D" w:rsidP="00FF031D">
      <w:pPr>
        <w:pStyle w:val="PargrafodaLista"/>
        <w:shd w:val="clear" w:color="auto" w:fill="FFFFFF"/>
        <w:spacing w:before="150"/>
        <w:rPr>
          <w:rFonts w:eastAsia="Calibri" w:cs="Times New Roman"/>
        </w:rPr>
      </w:pPr>
      <w:r>
        <w:rPr>
          <w:rFonts w:eastAsia="Calibri" w:cs="Times New Roman"/>
        </w:rPr>
        <w:object w:dxaOrig="15210" w:dyaOrig="9735">
          <v:shape id="_x0000_i1026" type="#_x0000_t75" style="width:340.6pt;height:218.1pt" o:ole="">
            <v:imagedata r:id="rId7" o:title=""/>
          </v:shape>
          <o:OLEObject Type="Embed" ProgID="PBrush" ShapeID="_x0000_i1026" DrawAspect="Content" ObjectID="_1593264959" r:id="rId8"/>
        </w:object>
      </w:r>
    </w:p>
    <w:p w:rsidR="00FF031D" w:rsidRPr="004A724F" w:rsidRDefault="00FF031D" w:rsidP="00FF031D">
      <w:pPr>
        <w:pStyle w:val="PargrafodaLista"/>
        <w:numPr>
          <w:ilvl w:val="0"/>
          <w:numId w:val="1"/>
        </w:numPr>
        <w:shd w:val="clear" w:color="auto" w:fill="FFFFFF"/>
        <w:spacing w:before="150"/>
        <w:rPr>
          <w:rFonts w:ascii="Arial" w:eastAsia="Times New Roman" w:hAnsi="Arial" w:cs="Arial"/>
          <w:color w:val="333333"/>
          <w:sz w:val="21"/>
          <w:szCs w:val="21"/>
          <w:lang w:eastAsia="pt-BR"/>
        </w:rPr>
      </w:pPr>
      <w:r>
        <w:rPr>
          <w:rFonts w:eastAsia="Calibri" w:cs="Times New Roman"/>
        </w:rPr>
        <w:t>Incluir nota de entrada com fornecedor de triangulação</w:t>
      </w:r>
      <w:r w:rsidR="004A724F">
        <w:rPr>
          <w:rFonts w:eastAsia="Calibri" w:cs="Times New Roman"/>
        </w:rPr>
        <w:t>, sem ICMS:</w:t>
      </w:r>
    </w:p>
    <w:p w:rsidR="004A724F" w:rsidRDefault="004A724F" w:rsidP="004A724F">
      <w:pPr>
        <w:pStyle w:val="PargrafodaLista"/>
        <w:shd w:val="clear" w:color="auto" w:fill="FFFFFF"/>
        <w:spacing w:before="150"/>
        <w:rPr>
          <w:rFonts w:ascii="Arial" w:eastAsia="Times New Roman" w:hAnsi="Arial" w:cs="Arial"/>
          <w:color w:val="333333"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color w:val="333333"/>
          <w:sz w:val="21"/>
          <w:szCs w:val="21"/>
          <w:lang w:eastAsia="pt-BR"/>
        </w:rPr>
        <w:lastRenderedPageBreak/>
        <w:drawing>
          <wp:inline distT="0" distB="0" distL="0" distR="0">
            <wp:extent cx="4171950" cy="3111534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3505" cy="3120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724F" w:rsidRDefault="004A724F" w:rsidP="004A724F">
      <w:pPr>
        <w:pStyle w:val="PargrafodaLista"/>
        <w:shd w:val="clear" w:color="auto" w:fill="FFFFFF"/>
        <w:spacing w:before="150"/>
        <w:rPr>
          <w:rFonts w:ascii="Arial" w:eastAsia="Times New Roman" w:hAnsi="Arial" w:cs="Arial"/>
          <w:color w:val="333333"/>
          <w:sz w:val="21"/>
          <w:szCs w:val="21"/>
          <w:lang w:eastAsia="pt-BR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pt-BR"/>
        </w:rPr>
        <w:t>Conferindo grupo de despesa do item:</w:t>
      </w:r>
    </w:p>
    <w:p w:rsidR="004A724F" w:rsidRPr="00FF031D" w:rsidRDefault="004A724F" w:rsidP="004A724F">
      <w:pPr>
        <w:pStyle w:val="PargrafodaLista"/>
        <w:shd w:val="clear" w:color="auto" w:fill="FFFFFF"/>
        <w:spacing w:before="150"/>
        <w:rPr>
          <w:rFonts w:ascii="Arial" w:eastAsia="Times New Roman" w:hAnsi="Arial" w:cs="Arial"/>
          <w:color w:val="333333"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color w:val="333333"/>
          <w:sz w:val="21"/>
          <w:szCs w:val="21"/>
          <w:lang w:eastAsia="pt-BR"/>
        </w:rPr>
        <w:drawing>
          <wp:inline distT="0" distB="0" distL="0" distR="0">
            <wp:extent cx="4114800" cy="3060654"/>
            <wp:effectExtent l="0" t="0" r="0" b="698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6251" cy="3069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6C0A" w:rsidRDefault="002B1B82" w:rsidP="00F46C0A">
      <w:pPr>
        <w:shd w:val="clear" w:color="auto" w:fill="FFFFFF"/>
        <w:spacing w:before="150"/>
        <w:rPr>
          <w:rFonts w:ascii="Arial" w:eastAsia="Times New Roman" w:hAnsi="Arial" w:cs="Arial"/>
          <w:color w:val="333333"/>
          <w:sz w:val="21"/>
          <w:szCs w:val="21"/>
          <w:lang w:eastAsia="pt-BR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pt-BR"/>
        </w:rPr>
        <w:t>*_</w:t>
      </w:r>
      <w:proofErr w:type="spellStart"/>
      <w:r>
        <w:rPr>
          <w:rFonts w:ascii="Arial" w:eastAsia="Times New Roman" w:hAnsi="Arial" w:cs="Arial"/>
          <w:color w:val="333333"/>
          <w:sz w:val="21"/>
          <w:szCs w:val="21"/>
          <w:lang w:eastAsia="pt-BR"/>
        </w:rPr>
        <w:t>fornecedor_triangulação</w:t>
      </w:r>
      <w:proofErr w:type="spellEnd"/>
    </w:p>
    <w:p w:rsidR="002B1B82" w:rsidRDefault="002B1B82" w:rsidP="00F46C0A">
      <w:pPr>
        <w:shd w:val="clear" w:color="auto" w:fill="FFFFFF"/>
        <w:spacing w:before="150"/>
        <w:rPr>
          <w:rFonts w:ascii="Arial" w:eastAsia="Times New Roman" w:hAnsi="Arial" w:cs="Arial"/>
          <w:color w:val="333333"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color w:val="333333"/>
          <w:sz w:val="21"/>
          <w:szCs w:val="21"/>
          <w:lang w:eastAsia="pt-BR"/>
        </w:rPr>
        <w:lastRenderedPageBreak/>
        <w:drawing>
          <wp:inline distT="0" distB="0" distL="0" distR="0">
            <wp:extent cx="4010025" cy="3592412"/>
            <wp:effectExtent l="0" t="0" r="0" b="825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6195" cy="3597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B82" w:rsidRDefault="002B1B82" w:rsidP="00F46C0A">
      <w:pPr>
        <w:shd w:val="clear" w:color="auto" w:fill="FFFFFF"/>
        <w:spacing w:before="150"/>
        <w:rPr>
          <w:rFonts w:ascii="Arial" w:eastAsia="Times New Roman" w:hAnsi="Arial" w:cs="Arial"/>
          <w:color w:val="333333"/>
          <w:sz w:val="21"/>
          <w:szCs w:val="21"/>
          <w:lang w:eastAsia="pt-BR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pt-BR"/>
        </w:rPr>
        <w:t>Fazer a contagem e inspeção da nota.</w:t>
      </w:r>
    </w:p>
    <w:p w:rsidR="002B1B82" w:rsidRDefault="002B1B82" w:rsidP="00F46C0A">
      <w:pPr>
        <w:shd w:val="clear" w:color="auto" w:fill="FFFFFF"/>
        <w:spacing w:before="150"/>
        <w:rPr>
          <w:rFonts w:ascii="Arial" w:eastAsia="Times New Roman" w:hAnsi="Arial" w:cs="Arial"/>
          <w:color w:val="333333"/>
          <w:sz w:val="21"/>
          <w:szCs w:val="21"/>
          <w:lang w:eastAsia="pt-BR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pt-BR"/>
        </w:rPr>
        <w:t>Depois da inspeção, deverá gerar uma nota de remessa para terceiros, para o fornecedor A1:</w:t>
      </w:r>
    </w:p>
    <w:p w:rsidR="002B1B82" w:rsidRDefault="002B1B82" w:rsidP="00F46C0A">
      <w:pPr>
        <w:shd w:val="clear" w:color="auto" w:fill="FFFFFF"/>
        <w:spacing w:before="150"/>
        <w:rPr>
          <w:rFonts w:ascii="Arial" w:eastAsia="Times New Roman" w:hAnsi="Arial" w:cs="Arial"/>
          <w:color w:val="333333"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color w:val="333333"/>
          <w:sz w:val="21"/>
          <w:szCs w:val="21"/>
          <w:lang w:eastAsia="pt-BR"/>
        </w:rPr>
        <w:drawing>
          <wp:inline distT="0" distB="0" distL="0" distR="0">
            <wp:extent cx="4438650" cy="3350515"/>
            <wp:effectExtent l="0" t="0" r="0" b="254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3931" cy="3354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6C0A" w:rsidRDefault="002B1B82" w:rsidP="00F46C0A">
      <w:pPr>
        <w:shd w:val="clear" w:color="auto" w:fill="FFFFFF"/>
        <w:spacing w:before="150"/>
        <w:rPr>
          <w:rFonts w:ascii="Arial" w:eastAsia="Times New Roman" w:hAnsi="Arial" w:cs="Arial"/>
          <w:color w:val="333333"/>
          <w:sz w:val="21"/>
          <w:szCs w:val="21"/>
          <w:lang w:eastAsia="pt-BR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pt-BR"/>
        </w:rPr>
        <w:t>Observação: Todo o processo acima é a triangulação, e já existia no sistema.</w:t>
      </w:r>
    </w:p>
    <w:p w:rsidR="002B1B82" w:rsidRDefault="002B1B82" w:rsidP="00F46C0A">
      <w:pPr>
        <w:shd w:val="clear" w:color="auto" w:fill="FFFFFF"/>
        <w:spacing w:before="150"/>
        <w:rPr>
          <w:rFonts w:ascii="Arial" w:eastAsia="Times New Roman" w:hAnsi="Arial" w:cs="Arial"/>
          <w:color w:val="333333"/>
          <w:sz w:val="21"/>
          <w:szCs w:val="21"/>
          <w:lang w:eastAsia="pt-BR"/>
        </w:rPr>
      </w:pPr>
    </w:p>
    <w:p w:rsidR="002B1B82" w:rsidRDefault="002B1B82" w:rsidP="00F46C0A">
      <w:pPr>
        <w:shd w:val="clear" w:color="auto" w:fill="FFFFFF"/>
        <w:spacing w:before="150"/>
        <w:rPr>
          <w:rFonts w:ascii="Arial" w:eastAsia="Times New Roman" w:hAnsi="Arial" w:cs="Arial"/>
          <w:color w:val="333333"/>
          <w:sz w:val="21"/>
          <w:szCs w:val="21"/>
          <w:lang w:eastAsia="pt-BR"/>
        </w:rPr>
      </w:pPr>
    </w:p>
    <w:p w:rsidR="00190A33" w:rsidRDefault="00F46C0A" w:rsidP="00F46C0A">
      <w:pPr>
        <w:shd w:val="clear" w:color="auto" w:fill="FFFFFF"/>
        <w:spacing w:before="150"/>
        <w:rPr>
          <w:rFonts w:ascii="Arial" w:eastAsia="Times New Roman" w:hAnsi="Arial" w:cs="Arial"/>
          <w:color w:val="333333"/>
          <w:sz w:val="21"/>
          <w:szCs w:val="21"/>
          <w:lang w:eastAsia="pt-BR"/>
        </w:rPr>
      </w:pPr>
      <w:r w:rsidRPr="00FB42DD">
        <w:rPr>
          <w:rFonts w:ascii="Arial" w:eastAsia="Times New Roman" w:hAnsi="Arial" w:cs="Arial"/>
          <w:color w:val="333333"/>
          <w:sz w:val="21"/>
          <w:szCs w:val="21"/>
          <w:lang w:eastAsia="pt-BR"/>
        </w:rPr>
        <w:lastRenderedPageBreak/>
        <w:t>A segunda nota</w:t>
      </w:r>
      <w:r w:rsidR="00190A33">
        <w:rPr>
          <w:rFonts w:ascii="Arial" w:eastAsia="Times New Roman" w:hAnsi="Arial" w:cs="Arial"/>
          <w:color w:val="333333"/>
          <w:sz w:val="21"/>
          <w:szCs w:val="21"/>
          <w:lang w:eastAsia="pt-BR"/>
        </w:rPr>
        <w:t xml:space="preserve"> </w:t>
      </w:r>
      <w:r w:rsidRPr="00FB42DD">
        <w:rPr>
          <w:rFonts w:ascii="Arial" w:eastAsia="Times New Roman" w:hAnsi="Arial" w:cs="Arial"/>
          <w:color w:val="333333"/>
          <w:sz w:val="21"/>
          <w:szCs w:val="21"/>
          <w:lang w:eastAsia="pt-BR"/>
        </w:rPr>
        <w:t>(do armazém), do tipo NFR, deverá ser digitada com q</w:t>
      </w:r>
      <w:r w:rsidR="00190A33">
        <w:rPr>
          <w:rFonts w:ascii="Arial" w:eastAsia="Times New Roman" w:hAnsi="Arial" w:cs="Arial"/>
          <w:color w:val="333333"/>
          <w:sz w:val="21"/>
          <w:szCs w:val="21"/>
          <w:lang w:eastAsia="pt-BR"/>
        </w:rPr>
        <w:t>uantida</w:t>
      </w:r>
      <w:r w:rsidRPr="00FB42DD">
        <w:rPr>
          <w:rFonts w:ascii="Arial" w:eastAsia="Times New Roman" w:hAnsi="Arial" w:cs="Arial"/>
          <w:color w:val="333333"/>
          <w:sz w:val="21"/>
          <w:szCs w:val="21"/>
          <w:lang w:eastAsia="pt-BR"/>
        </w:rPr>
        <w:t xml:space="preserve">de e valor, </w:t>
      </w:r>
      <w:r w:rsidR="00190A33">
        <w:rPr>
          <w:rFonts w:ascii="Arial" w:eastAsia="Times New Roman" w:hAnsi="Arial" w:cs="Arial"/>
          <w:color w:val="333333"/>
          <w:sz w:val="21"/>
          <w:szCs w:val="21"/>
          <w:lang w:eastAsia="pt-BR"/>
        </w:rPr>
        <w:t xml:space="preserve">com </w:t>
      </w:r>
      <w:r w:rsidRPr="00FB42DD">
        <w:rPr>
          <w:rFonts w:ascii="Arial" w:eastAsia="Times New Roman" w:hAnsi="Arial" w:cs="Arial"/>
          <w:color w:val="333333"/>
          <w:sz w:val="21"/>
          <w:szCs w:val="21"/>
          <w:lang w:eastAsia="pt-BR"/>
        </w:rPr>
        <w:t xml:space="preserve">controle de estoque, </w:t>
      </w:r>
      <w:r w:rsidR="00190A33">
        <w:rPr>
          <w:rFonts w:ascii="Arial" w:eastAsia="Times New Roman" w:hAnsi="Arial" w:cs="Arial"/>
          <w:color w:val="333333"/>
          <w:sz w:val="21"/>
          <w:szCs w:val="21"/>
          <w:lang w:eastAsia="pt-BR"/>
        </w:rPr>
        <w:t>pois irá gerar uma movimentação de ajuste de valor, para que o ICMS possa ser descontado do custo do item</w:t>
      </w:r>
      <w:r w:rsidRPr="00FB42DD">
        <w:rPr>
          <w:rFonts w:ascii="Arial" w:eastAsia="Times New Roman" w:hAnsi="Arial" w:cs="Arial"/>
          <w:color w:val="333333"/>
          <w:sz w:val="21"/>
          <w:szCs w:val="21"/>
          <w:lang w:eastAsia="pt-BR"/>
        </w:rPr>
        <w:t xml:space="preserve">. </w:t>
      </w:r>
    </w:p>
    <w:p w:rsidR="00F46C0A" w:rsidRPr="00FB42DD" w:rsidRDefault="00F46C0A" w:rsidP="00F46C0A">
      <w:pPr>
        <w:shd w:val="clear" w:color="auto" w:fill="FFFFFF"/>
        <w:spacing w:before="150"/>
        <w:rPr>
          <w:rFonts w:ascii="Arial" w:eastAsia="Times New Roman" w:hAnsi="Arial" w:cs="Arial"/>
          <w:color w:val="333333"/>
          <w:sz w:val="21"/>
          <w:szCs w:val="21"/>
          <w:lang w:eastAsia="pt-BR"/>
        </w:rPr>
      </w:pPr>
      <w:r w:rsidRPr="00FB42DD">
        <w:rPr>
          <w:rFonts w:ascii="Arial" w:eastAsia="Times New Roman" w:hAnsi="Arial" w:cs="Arial"/>
          <w:color w:val="333333"/>
          <w:sz w:val="21"/>
          <w:szCs w:val="21"/>
          <w:lang w:eastAsia="pt-BR"/>
        </w:rPr>
        <w:t>Observação: A conta de crédito da contabilização do ICMS será "Conta não estoque retorno de terceiros" do SUP1400, pois a conta de estoque será utiliza</w:t>
      </w:r>
      <w:r w:rsidR="00B62D71">
        <w:rPr>
          <w:rFonts w:ascii="Arial" w:eastAsia="Times New Roman" w:hAnsi="Arial" w:cs="Arial"/>
          <w:color w:val="333333"/>
          <w:sz w:val="21"/>
          <w:szCs w:val="21"/>
          <w:lang w:eastAsia="pt-BR"/>
        </w:rPr>
        <w:t>da</w:t>
      </w:r>
      <w:r w:rsidRPr="00FB42DD">
        <w:rPr>
          <w:rFonts w:ascii="Arial" w:eastAsia="Times New Roman" w:hAnsi="Arial" w:cs="Arial"/>
          <w:color w:val="333333"/>
          <w:sz w:val="21"/>
          <w:szCs w:val="21"/>
          <w:lang w:eastAsia="pt-BR"/>
        </w:rPr>
        <w:t xml:space="preserve"> na contabilização da operação de ajuste de valor negativo.</w:t>
      </w:r>
    </w:p>
    <w:p w:rsidR="00F46C0A" w:rsidRDefault="00DE6F39" w:rsidP="00DE6F39">
      <w:pPr>
        <w:pStyle w:val="PargrafodaLista"/>
        <w:numPr>
          <w:ilvl w:val="0"/>
          <w:numId w:val="2"/>
        </w:numPr>
      </w:pPr>
      <w:r>
        <w:t>Deverá ser rodado o conversor de parâmetros suca01085, que irá criar os 2 parâmetros abaixo:</w:t>
      </w:r>
    </w:p>
    <w:p w:rsidR="00DE6F39" w:rsidRDefault="00DE6F39" w:rsidP="00DE6F39">
      <w:pPr>
        <w:pStyle w:val="PargrafodaLista"/>
        <w:rPr>
          <w:rFonts w:eastAsia="Calibri" w:cs="Times New Roman"/>
        </w:rPr>
      </w:pPr>
      <w:r>
        <w:rPr>
          <w:rFonts w:eastAsia="Calibri" w:cs="Times New Roman"/>
        </w:rPr>
        <w:object w:dxaOrig="16770" w:dyaOrig="10905">
          <v:shape id="_x0000_i1027" type="#_x0000_t75" style="width:323.65pt;height:210pt" o:ole="">
            <v:imagedata r:id="rId13" o:title=""/>
          </v:shape>
          <o:OLEObject Type="Embed" ProgID="PBrush" ShapeID="_x0000_i1027" DrawAspect="Content" ObjectID="_1593264960" r:id="rId14"/>
        </w:object>
      </w:r>
    </w:p>
    <w:p w:rsidR="00DE6F39" w:rsidRDefault="00DE6F39" w:rsidP="00DE6F39">
      <w:pPr>
        <w:pStyle w:val="PargrafodaLista"/>
        <w:rPr>
          <w:rFonts w:eastAsia="Calibri" w:cs="Times New Roman"/>
        </w:rPr>
      </w:pPr>
    </w:p>
    <w:p w:rsidR="00DE6F39" w:rsidRDefault="00DE6F39" w:rsidP="00DE6F39">
      <w:pPr>
        <w:pStyle w:val="PargrafodaLista"/>
        <w:rPr>
          <w:rFonts w:eastAsia="Calibri" w:cs="Times New Roman"/>
        </w:rPr>
      </w:pPr>
      <w:r>
        <w:rPr>
          <w:rFonts w:eastAsia="Calibri" w:cs="Times New Roman"/>
        </w:rPr>
        <w:object w:dxaOrig="16380" w:dyaOrig="10455">
          <v:shape id="_x0000_i1028" type="#_x0000_t75" style="width:335.65pt;height:214.25pt" o:ole="">
            <v:imagedata r:id="rId15" o:title=""/>
          </v:shape>
          <o:OLEObject Type="Embed" ProgID="PBrush" ShapeID="_x0000_i1028" DrawAspect="Content" ObjectID="_1593264961" r:id="rId16"/>
        </w:object>
      </w:r>
    </w:p>
    <w:p w:rsidR="00DE6F39" w:rsidRDefault="00DE6F39" w:rsidP="00DE6F39">
      <w:pPr>
        <w:pStyle w:val="PargrafodaLista"/>
        <w:rPr>
          <w:rFonts w:eastAsia="Calibri" w:cs="Times New Roman"/>
        </w:rPr>
      </w:pPr>
    </w:p>
    <w:p w:rsidR="00DE6F39" w:rsidRDefault="00DE6F39" w:rsidP="00DE6F39">
      <w:pPr>
        <w:pStyle w:val="PargrafodaLista"/>
        <w:rPr>
          <w:rFonts w:eastAsia="Calibri" w:cs="Times New Roman"/>
        </w:rPr>
      </w:pPr>
    </w:p>
    <w:p w:rsidR="00DE6F39" w:rsidRDefault="00DE6F39" w:rsidP="00DE6F39">
      <w:pPr>
        <w:pStyle w:val="PargrafodaLista"/>
        <w:rPr>
          <w:rFonts w:eastAsia="Calibri" w:cs="Times New Roman"/>
        </w:rPr>
      </w:pPr>
    </w:p>
    <w:p w:rsidR="00DE6F39" w:rsidRDefault="00DE6F39" w:rsidP="00DE6F39">
      <w:pPr>
        <w:pStyle w:val="PargrafodaLista"/>
        <w:rPr>
          <w:rFonts w:eastAsia="Calibri" w:cs="Times New Roman"/>
        </w:rPr>
      </w:pPr>
    </w:p>
    <w:p w:rsidR="00DE6F39" w:rsidRDefault="00DE6F39" w:rsidP="00DE6F39">
      <w:pPr>
        <w:pStyle w:val="PargrafodaLista"/>
        <w:rPr>
          <w:rFonts w:eastAsia="Calibri" w:cs="Times New Roman"/>
        </w:rPr>
      </w:pPr>
    </w:p>
    <w:p w:rsidR="00DE6F39" w:rsidRDefault="00DE6F39" w:rsidP="00DE6F39">
      <w:pPr>
        <w:pStyle w:val="PargrafodaLista"/>
        <w:rPr>
          <w:rFonts w:eastAsia="Calibri" w:cs="Times New Roman"/>
        </w:rPr>
      </w:pPr>
    </w:p>
    <w:p w:rsidR="00DE6F39" w:rsidRDefault="00DE6F39" w:rsidP="00DE6F39">
      <w:pPr>
        <w:pStyle w:val="PargrafodaLista"/>
        <w:rPr>
          <w:rFonts w:eastAsia="Calibri" w:cs="Times New Roman"/>
        </w:rPr>
      </w:pPr>
    </w:p>
    <w:p w:rsidR="00DE6F39" w:rsidRDefault="00DE6F39" w:rsidP="00DE6F39">
      <w:pPr>
        <w:pStyle w:val="PargrafodaLista"/>
        <w:rPr>
          <w:rFonts w:eastAsia="Calibri" w:cs="Times New Roman"/>
        </w:rPr>
      </w:pPr>
    </w:p>
    <w:p w:rsidR="00DE6F39" w:rsidRDefault="00DE6F39" w:rsidP="00DE6F39">
      <w:pPr>
        <w:pStyle w:val="PargrafodaLista"/>
        <w:rPr>
          <w:rFonts w:eastAsia="Calibri" w:cs="Times New Roman"/>
        </w:rPr>
      </w:pPr>
    </w:p>
    <w:p w:rsidR="00DE6F39" w:rsidRDefault="00DE6F39" w:rsidP="00DE6F39">
      <w:pPr>
        <w:pStyle w:val="PargrafodaLista"/>
        <w:rPr>
          <w:rFonts w:eastAsia="Calibri" w:cs="Times New Roman"/>
        </w:rPr>
      </w:pPr>
      <w:r>
        <w:rPr>
          <w:rFonts w:eastAsia="Calibri" w:cs="Times New Roman"/>
        </w:rPr>
        <w:lastRenderedPageBreak/>
        <w:t xml:space="preserve">O grupo fiscal de </w:t>
      </w:r>
      <w:proofErr w:type="spellStart"/>
      <w:r>
        <w:rPr>
          <w:rFonts w:eastAsia="Calibri" w:cs="Times New Roman"/>
        </w:rPr>
        <w:t>cfop</w:t>
      </w:r>
      <w:proofErr w:type="spellEnd"/>
      <w:r>
        <w:rPr>
          <w:rFonts w:eastAsia="Calibri" w:cs="Times New Roman"/>
        </w:rPr>
        <w:t xml:space="preserve">, deverá ser </w:t>
      </w:r>
      <w:proofErr w:type="spellStart"/>
      <w:r>
        <w:rPr>
          <w:rFonts w:eastAsia="Calibri" w:cs="Times New Roman"/>
        </w:rPr>
        <w:t>pré</w:t>
      </w:r>
      <w:proofErr w:type="spellEnd"/>
      <w:r>
        <w:rPr>
          <w:rFonts w:eastAsia="Calibri" w:cs="Times New Roman"/>
        </w:rPr>
        <w:t xml:space="preserve">-cadastrado, e relacionado aos </w:t>
      </w:r>
      <w:proofErr w:type="spellStart"/>
      <w:r>
        <w:rPr>
          <w:rFonts w:eastAsia="Calibri" w:cs="Times New Roman"/>
        </w:rPr>
        <w:t>cfops</w:t>
      </w:r>
      <w:proofErr w:type="spellEnd"/>
      <w:r>
        <w:rPr>
          <w:rFonts w:eastAsia="Calibri" w:cs="Times New Roman"/>
        </w:rPr>
        <w:t xml:space="preserve"> que serão considerados como NF Armazém:</w:t>
      </w:r>
    </w:p>
    <w:p w:rsidR="00DE6F39" w:rsidRDefault="00DE6F39" w:rsidP="00DE6F39">
      <w:pPr>
        <w:pStyle w:val="PargrafodaLista"/>
        <w:rPr>
          <w:rFonts w:eastAsia="Calibri" w:cs="Times New Roman"/>
        </w:rPr>
      </w:pPr>
      <w:r>
        <w:rPr>
          <w:rFonts w:eastAsia="Calibri" w:cs="Times New Roman"/>
        </w:rPr>
        <w:object w:dxaOrig="15195" w:dyaOrig="11415">
          <v:shape id="_x0000_i1029" type="#_x0000_t75" style="width:262.95pt;height:197.65pt" o:ole="">
            <v:imagedata r:id="rId17" o:title=""/>
          </v:shape>
          <o:OLEObject Type="Embed" ProgID="PBrush" ShapeID="_x0000_i1029" DrawAspect="Content" ObjectID="_1593264962" r:id="rId18"/>
        </w:object>
      </w:r>
    </w:p>
    <w:p w:rsidR="00DE6F39" w:rsidRDefault="00DE6F39" w:rsidP="00DE6F39">
      <w:pPr>
        <w:pStyle w:val="PargrafodaLista"/>
        <w:rPr>
          <w:rFonts w:eastAsia="Calibri" w:cs="Times New Roman"/>
        </w:rPr>
      </w:pPr>
    </w:p>
    <w:p w:rsidR="00DE6F39" w:rsidRDefault="00DE6F39" w:rsidP="00DE6F39">
      <w:pPr>
        <w:pStyle w:val="PargrafodaLista"/>
        <w:rPr>
          <w:rFonts w:eastAsia="Calibri" w:cs="Times New Roman"/>
        </w:rPr>
      </w:pPr>
      <w:r>
        <w:rPr>
          <w:rFonts w:eastAsia="Calibri" w:cs="Times New Roman"/>
        </w:rPr>
        <w:object w:dxaOrig="14955" w:dyaOrig="11325">
          <v:shape id="_x0000_i1030" type="#_x0000_t75" style="width:261.9pt;height:198.35pt" o:ole="">
            <v:imagedata r:id="rId19" o:title=""/>
          </v:shape>
          <o:OLEObject Type="Embed" ProgID="PBrush" ShapeID="_x0000_i1030" DrawAspect="Content" ObjectID="_1593264963" r:id="rId20"/>
        </w:object>
      </w:r>
    </w:p>
    <w:p w:rsidR="00DE6F39" w:rsidRDefault="00DE6F39" w:rsidP="00DE6F39">
      <w:pPr>
        <w:pStyle w:val="PargrafodaLista"/>
        <w:rPr>
          <w:rFonts w:eastAsia="Calibri" w:cs="Times New Roman"/>
        </w:rPr>
      </w:pPr>
    </w:p>
    <w:p w:rsidR="00DE6F39" w:rsidRDefault="00DE6F39" w:rsidP="00DE6F39">
      <w:pPr>
        <w:pStyle w:val="PargrafodaLista"/>
        <w:rPr>
          <w:rFonts w:eastAsia="Calibri" w:cs="Times New Roman"/>
        </w:rPr>
      </w:pPr>
      <w:r>
        <w:rPr>
          <w:rFonts w:eastAsia="Calibri" w:cs="Times New Roman"/>
        </w:rPr>
        <w:t>Já a operação de estoque deverá ser de saída, somente de valor.</w:t>
      </w:r>
    </w:p>
    <w:p w:rsidR="00DE6F39" w:rsidRDefault="00DE6F39" w:rsidP="00DE6F39">
      <w:pPr>
        <w:pStyle w:val="PargrafodaLista"/>
        <w:rPr>
          <w:rFonts w:eastAsia="Calibri" w:cs="Times New Roman"/>
        </w:rPr>
      </w:pPr>
      <w:r>
        <w:rPr>
          <w:rFonts w:eastAsia="Calibri" w:cs="Times New Roman"/>
        </w:rPr>
        <w:object w:dxaOrig="15495" w:dyaOrig="9780">
          <v:shape id="_x0000_i1031" type="#_x0000_t75" style="width:310.6pt;height:196.25pt" o:ole="">
            <v:imagedata r:id="rId21" o:title=""/>
          </v:shape>
          <o:OLEObject Type="Embed" ProgID="PBrush" ShapeID="_x0000_i1031" DrawAspect="Content" ObjectID="_1593264964" r:id="rId22"/>
        </w:object>
      </w:r>
    </w:p>
    <w:p w:rsidR="00DE6F39" w:rsidRDefault="00DE6F39" w:rsidP="00DE6F39">
      <w:pPr>
        <w:pStyle w:val="PargrafodaLista"/>
        <w:rPr>
          <w:rFonts w:eastAsia="Calibri" w:cs="Times New Roman"/>
        </w:rPr>
      </w:pPr>
    </w:p>
    <w:p w:rsidR="00DE6F39" w:rsidRDefault="004D7DCB" w:rsidP="00DE6F39">
      <w:pPr>
        <w:pStyle w:val="PargrafodaLista"/>
        <w:rPr>
          <w:rFonts w:eastAsia="Calibri" w:cs="Times New Roman"/>
        </w:rPr>
      </w:pPr>
      <w:r>
        <w:rPr>
          <w:rFonts w:eastAsia="Calibri" w:cs="Times New Roman"/>
        </w:rPr>
        <w:t>E ter as contas parametrizadas:</w:t>
      </w:r>
    </w:p>
    <w:p w:rsidR="004D7DCB" w:rsidRDefault="004D7DCB" w:rsidP="00DE6F39">
      <w:pPr>
        <w:pStyle w:val="PargrafodaLista"/>
        <w:rPr>
          <w:rFonts w:eastAsia="Calibri" w:cs="Times New Roman"/>
        </w:rPr>
      </w:pPr>
      <w:r>
        <w:rPr>
          <w:rFonts w:eastAsia="Calibri" w:cs="Times New Roman"/>
          <w:noProof/>
          <w:lang w:eastAsia="pt-BR"/>
        </w:rPr>
        <w:lastRenderedPageBreak/>
        <w:drawing>
          <wp:inline distT="0" distB="0" distL="0" distR="0">
            <wp:extent cx="5210175" cy="2773079"/>
            <wp:effectExtent l="0" t="0" r="0" b="825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2778" cy="2779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4674" w:rsidRDefault="000C4674" w:rsidP="00DE6F39">
      <w:pPr>
        <w:pStyle w:val="PargrafodaLista"/>
        <w:rPr>
          <w:rFonts w:eastAsia="Calibri" w:cs="Times New Roman"/>
        </w:rPr>
      </w:pPr>
    </w:p>
    <w:p w:rsidR="00DE6F39" w:rsidRDefault="008F604B" w:rsidP="00DE6F39">
      <w:pPr>
        <w:pStyle w:val="PargrafodaLista"/>
        <w:numPr>
          <w:ilvl w:val="0"/>
          <w:numId w:val="2"/>
        </w:numPr>
      </w:pPr>
      <w:r>
        <w:t xml:space="preserve">Incluindo a nota de entrada, com fornecedor armazém, tipo NFR, e </w:t>
      </w:r>
      <w:proofErr w:type="spellStart"/>
      <w:r>
        <w:t>cfop</w:t>
      </w:r>
      <w:proofErr w:type="spellEnd"/>
      <w:r>
        <w:t xml:space="preserve"> parametrizado acima, sem pagamento. Para as perguntas:</w:t>
      </w:r>
    </w:p>
    <w:p w:rsidR="008F604B" w:rsidRDefault="008F604B" w:rsidP="008F604B">
      <w:pPr>
        <w:pStyle w:val="PargrafodaLista"/>
      </w:pPr>
      <w:r>
        <w:t xml:space="preserve">- Esse item deve ser movimentado na conta estoque? </w:t>
      </w:r>
      <w:r w:rsidRPr="008F604B">
        <w:rPr>
          <w:color w:val="FF0000"/>
        </w:rPr>
        <w:t>SIM</w:t>
      </w:r>
      <w:r>
        <w:rPr>
          <w:color w:val="FF0000"/>
        </w:rPr>
        <w:t xml:space="preserve"> </w:t>
      </w:r>
      <w:r w:rsidRPr="008F604B">
        <w:t>(irá gerar um ajuste no item estoque)</w:t>
      </w:r>
    </w:p>
    <w:p w:rsidR="008F604B" w:rsidRDefault="008F604B" w:rsidP="008F604B">
      <w:pPr>
        <w:pStyle w:val="PargrafodaLista"/>
      </w:pPr>
      <w:r>
        <w:t xml:space="preserve">- Controlar terceiros? </w:t>
      </w:r>
      <w:r w:rsidRPr="008F604B">
        <w:rPr>
          <w:color w:val="FF0000"/>
        </w:rPr>
        <w:t>SIM</w:t>
      </w:r>
      <w:r>
        <w:rPr>
          <w:color w:val="FF0000"/>
        </w:rPr>
        <w:t xml:space="preserve"> </w:t>
      </w:r>
      <w:r w:rsidRPr="008F604B">
        <w:t>(</w:t>
      </w:r>
      <w:r>
        <w:t>é um retorno do item que estava em terceiros)</w:t>
      </w:r>
    </w:p>
    <w:p w:rsidR="008F604B" w:rsidRPr="008F604B" w:rsidRDefault="008F604B" w:rsidP="008F604B">
      <w:pPr>
        <w:pStyle w:val="PargrafodaLista"/>
      </w:pPr>
      <w:r>
        <w:t xml:space="preserve">- Material da empresa? </w:t>
      </w:r>
      <w:r w:rsidRPr="008F604B">
        <w:rPr>
          <w:color w:val="FF0000"/>
        </w:rPr>
        <w:t>SIM</w:t>
      </w:r>
    </w:p>
    <w:p w:rsidR="008F604B" w:rsidRDefault="00E94C17" w:rsidP="008F604B">
      <w:pPr>
        <w:pStyle w:val="PargrafodaLista"/>
      </w:pPr>
      <w:r>
        <w:rPr>
          <w:noProof/>
          <w:lang w:eastAsia="pt-BR"/>
        </w:rPr>
        <w:drawing>
          <wp:inline distT="0" distB="0" distL="0" distR="0">
            <wp:extent cx="4229100" cy="3082225"/>
            <wp:effectExtent l="0" t="0" r="0" b="4445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6866" cy="3087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7F73" w:rsidRDefault="00147F73" w:rsidP="008F604B">
      <w:pPr>
        <w:pStyle w:val="PargrafodaLista"/>
      </w:pPr>
    </w:p>
    <w:p w:rsidR="00147F73" w:rsidRDefault="00715412" w:rsidP="008F604B">
      <w:pPr>
        <w:pStyle w:val="PargrafodaLista"/>
      </w:pPr>
      <w:r>
        <w:rPr>
          <w:noProof/>
          <w:lang w:eastAsia="pt-BR"/>
        </w:rPr>
        <w:lastRenderedPageBreak/>
        <w:drawing>
          <wp:inline distT="0" distB="0" distL="0" distR="0">
            <wp:extent cx="4351292" cy="2581275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3850" cy="2582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C17" w:rsidRDefault="00E94C17" w:rsidP="008F604B">
      <w:pPr>
        <w:pStyle w:val="PargrafodaLista"/>
      </w:pPr>
      <w:r>
        <w:t>Verificando a contabilização do ICMS:</w:t>
      </w:r>
    </w:p>
    <w:p w:rsidR="00E94C17" w:rsidRDefault="00893496" w:rsidP="008F604B">
      <w:pPr>
        <w:pStyle w:val="PargrafodaLista"/>
      </w:pPr>
      <w:r>
        <w:rPr>
          <w:noProof/>
          <w:lang w:eastAsia="pt-BR"/>
        </w:rPr>
        <w:drawing>
          <wp:inline distT="0" distB="0" distL="0" distR="0">
            <wp:extent cx="4233863" cy="2584701"/>
            <wp:effectExtent l="0" t="0" r="0" b="635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0019" cy="2588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5412" w:rsidRDefault="00715412" w:rsidP="008F604B">
      <w:pPr>
        <w:pStyle w:val="PargrafodaLista"/>
      </w:pPr>
    </w:p>
    <w:p w:rsidR="00715412" w:rsidRDefault="00715412" w:rsidP="008F604B">
      <w:pPr>
        <w:pStyle w:val="PargrafodaLista"/>
      </w:pPr>
      <w:r>
        <w:t xml:space="preserve">Fazendo a contagem e inspeção. </w:t>
      </w:r>
    </w:p>
    <w:p w:rsidR="00715412" w:rsidRDefault="00715412" w:rsidP="008F604B">
      <w:pPr>
        <w:pStyle w:val="PargrafodaLista"/>
      </w:pPr>
      <w:r>
        <w:t>Deverá gerar operação de ajuste de valor:</w:t>
      </w:r>
    </w:p>
    <w:p w:rsidR="00715412" w:rsidRDefault="00715412" w:rsidP="008F604B">
      <w:pPr>
        <w:pStyle w:val="PargrafodaLista"/>
      </w:pPr>
      <w:r>
        <w:rPr>
          <w:noProof/>
          <w:lang w:eastAsia="pt-BR"/>
        </w:rPr>
        <w:drawing>
          <wp:inline distT="0" distB="0" distL="0" distR="0">
            <wp:extent cx="4186237" cy="2799700"/>
            <wp:effectExtent l="0" t="0" r="5080" b="127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5454" cy="2805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5412" w:rsidRDefault="00715412" w:rsidP="008F604B">
      <w:pPr>
        <w:pStyle w:val="PargrafodaLista"/>
      </w:pPr>
      <w:r>
        <w:lastRenderedPageBreak/>
        <w:t xml:space="preserve">Fazendo fechamento do estoque para valorizar novamente a operação </w:t>
      </w:r>
      <w:r w:rsidR="00B62D71">
        <w:t>de ajuste do ICMS</w:t>
      </w:r>
      <w:bookmarkStart w:id="0" w:name="_GoBack"/>
      <w:bookmarkEnd w:id="0"/>
      <w:r>
        <w:t>:</w:t>
      </w:r>
    </w:p>
    <w:p w:rsidR="00715412" w:rsidRDefault="00715412" w:rsidP="008F604B">
      <w:pPr>
        <w:pStyle w:val="PargrafodaLista"/>
      </w:pPr>
      <w:r>
        <w:rPr>
          <w:noProof/>
          <w:lang w:eastAsia="pt-BR"/>
        </w:rPr>
        <w:drawing>
          <wp:inline distT="0" distB="0" distL="0" distR="0">
            <wp:extent cx="3767137" cy="3029048"/>
            <wp:effectExtent l="0" t="0" r="508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2729" cy="3033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40F1" w:rsidRDefault="001940F1" w:rsidP="008F604B">
      <w:pPr>
        <w:pStyle w:val="PargrafodaLista"/>
      </w:pPr>
    </w:p>
    <w:p w:rsidR="001940F1" w:rsidRDefault="001940F1" w:rsidP="008F604B">
      <w:pPr>
        <w:pStyle w:val="PargrafodaLista"/>
      </w:pPr>
      <w:r>
        <w:rPr>
          <w:noProof/>
          <w:lang w:eastAsia="pt-BR"/>
        </w:rPr>
        <w:drawing>
          <wp:inline distT="0" distB="0" distL="0" distR="0">
            <wp:extent cx="3757612" cy="2483845"/>
            <wp:effectExtent l="0" t="0" r="0" b="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0897" cy="2486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5412" w:rsidRDefault="00715412" w:rsidP="008F604B">
      <w:pPr>
        <w:pStyle w:val="PargrafodaLista"/>
      </w:pPr>
    </w:p>
    <w:p w:rsidR="00715412" w:rsidRDefault="00A27D19" w:rsidP="008F604B">
      <w:pPr>
        <w:pStyle w:val="PargrafodaLista"/>
      </w:pPr>
      <w:r>
        <w:t>Essa movimentação entrará no custo médio do item, diminuindo o valor do ICMS.</w:t>
      </w:r>
    </w:p>
    <w:p w:rsidR="00A27D19" w:rsidRDefault="00A27D19" w:rsidP="00A27D19">
      <w:pPr>
        <w:pStyle w:val="NormalWeb"/>
        <w:shd w:val="clear" w:color="auto" w:fill="FFFFFF"/>
        <w:spacing w:before="150" w:beforeAutospacing="0" w:after="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AR1 (item)- credito do fornecedor R$100,00</w:t>
      </w:r>
    </w:p>
    <w:p w:rsidR="00A27D19" w:rsidRDefault="00A27D19" w:rsidP="00A27D19">
      <w:pPr>
        <w:pStyle w:val="NormalWeb"/>
        <w:shd w:val="clear" w:color="auto" w:fill="FFFFFF"/>
        <w:spacing w:before="150" w:beforeAutospacing="0" w:after="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Débito de estoque R$100,00</w:t>
      </w:r>
    </w:p>
    <w:p w:rsidR="00A27D19" w:rsidRDefault="00A27D19" w:rsidP="00A27D19">
      <w:pPr>
        <w:pStyle w:val="NormalWeb"/>
        <w:shd w:val="clear" w:color="auto" w:fill="FFFFFF"/>
        <w:spacing w:before="150" w:beforeAutospacing="0" w:after="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AR2 (ICMS)- crédito impostos e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taxas(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Conta </w:t>
      </w:r>
      <w:r w:rsidR="00C55043">
        <w:rPr>
          <w:rFonts w:ascii="Arial" w:hAnsi="Arial" w:cs="Arial"/>
          <w:color w:val="333333"/>
          <w:sz w:val="21"/>
          <w:szCs w:val="21"/>
        </w:rPr>
        <w:t>da operação de estoque</w:t>
      </w:r>
      <w:r>
        <w:rPr>
          <w:rFonts w:ascii="Arial" w:hAnsi="Arial" w:cs="Arial"/>
          <w:color w:val="333333"/>
          <w:sz w:val="21"/>
          <w:szCs w:val="21"/>
        </w:rPr>
        <w:t>) R$20,00,</w:t>
      </w:r>
    </w:p>
    <w:p w:rsidR="00A27D19" w:rsidRDefault="00A27D19" w:rsidP="00A27D19">
      <w:pPr>
        <w:pStyle w:val="NormalWeb"/>
        <w:shd w:val="clear" w:color="auto" w:fill="FFFFFF"/>
        <w:spacing w:before="150" w:beforeAutospacing="0" w:after="0" w:afterAutospacing="0"/>
        <w:rPr>
          <w:rFonts w:ascii="Arial" w:hAnsi="Arial" w:cs="Arial"/>
          <w:color w:val="333333"/>
          <w:sz w:val="21"/>
          <w:szCs w:val="21"/>
        </w:rPr>
      </w:pPr>
      <w:proofErr w:type="gramStart"/>
      <w:r>
        <w:rPr>
          <w:rFonts w:ascii="Arial" w:hAnsi="Arial" w:cs="Arial"/>
          <w:color w:val="333333"/>
          <w:sz w:val="21"/>
          <w:szCs w:val="21"/>
        </w:rPr>
        <w:t>débito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ICMS a recuperar R$20,00</w:t>
      </w:r>
    </w:p>
    <w:p w:rsidR="00A27D19" w:rsidRDefault="00A27D19" w:rsidP="00A27D19">
      <w:pPr>
        <w:pStyle w:val="NormalWeb"/>
        <w:shd w:val="clear" w:color="auto" w:fill="FFFFFF"/>
        <w:spacing w:before="150" w:beforeAutospacing="0" w:after="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Movimento de ajuste de valor - credita conta do item estoque R$20,00</w:t>
      </w:r>
    </w:p>
    <w:p w:rsidR="00A27D19" w:rsidRDefault="00A27D19" w:rsidP="00A27D19">
      <w:pPr>
        <w:pStyle w:val="NormalWeb"/>
        <w:shd w:val="clear" w:color="auto" w:fill="FFFFFF"/>
        <w:spacing w:before="150" w:beforeAutospacing="0" w:after="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debita impostos e taxas</w:t>
      </w:r>
      <w:r w:rsidR="00C55043">
        <w:rPr>
          <w:rFonts w:ascii="Arial" w:hAnsi="Arial" w:cs="Arial"/>
          <w:color w:val="333333"/>
          <w:sz w:val="21"/>
          <w:szCs w:val="21"/>
        </w:rPr>
        <w:t>(conta da operação de estoque)</w:t>
      </w:r>
      <w:r>
        <w:rPr>
          <w:rFonts w:ascii="Arial" w:hAnsi="Arial" w:cs="Arial"/>
          <w:color w:val="333333"/>
          <w:sz w:val="21"/>
          <w:szCs w:val="21"/>
        </w:rPr>
        <w:t xml:space="preserve"> R$20,00</w:t>
      </w:r>
    </w:p>
    <w:p w:rsidR="00A27D19" w:rsidRDefault="00A27D19" w:rsidP="008F604B">
      <w:pPr>
        <w:pStyle w:val="PargrafodaLista"/>
      </w:pPr>
    </w:p>
    <w:p w:rsidR="00715412" w:rsidRDefault="00715412" w:rsidP="008F604B">
      <w:pPr>
        <w:pStyle w:val="PargrafodaLista"/>
      </w:pPr>
    </w:p>
    <w:sectPr w:rsidR="0071541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4345B"/>
    <w:multiLevelType w:val="hybridMultilevel"/>
    <w:tmpl w:val="95AA305E"/>
    <w:lvl w:ilvl="0" w:tplc="98A8D1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AE57FF"/>
    <w:multiLevelType w:val="hybridMultilevel"/>
    <w:tmpl w:val="33604022"/>
    <w:lvl w:ilvl="0" w:tplc="0DAE4A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831"/>
    <w:rsid w:val="000C4674"/>
    <w:rsid w:val="00147F73"/>
    <w:rsid w:val="00190A33"/>
    <w:rsid w:val="001940F1"/>
    <w:rsid w:val="002225B8"/>
    <w:rsid w:val="00297831"/>
    <w:rsid w:val="002A5C39"/>
    <w:rsid w:val="002B1B82"/>
    <w:rsid w:val="00300512"/>
    <w:rsid w:val="004A724F"/>
    <w:rsid w:val="004D7DCB"/>
    <w:rsid w:val="00715412"/>
    <w:rsid w:val="00893496"/>
    <w:rsid w:val="008A5DA4"/>
    <w:rsid w:val="008F604B"/>
    <w:rsid w:val="00A26E81"/>
    <w:rsid w:val="00A27D19"/>
    <w:rsid w:val="00B62D71"/>
    <w:rsid w:val="00C55043"/>
    <w:rsid w:val="00DE6F39"/>
    <w:rsid w:val="00E94C17"/>
    <w:rsid w:val="00F46C0A"/>
    <w:rsid w:val="00F91E01"/>
    <w:rsid w:val="00FF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E0A1B9-AEC2-4D8E-8C8F-E0DB65134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F031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27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43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7.png"/><Relationship Id="rId18" Type="http://schemas.openxmlformats.org/officeDocument/2006/relationships/oleObject" Target="embeddings/oleObject5.bin"/><Relationship Id="rId26" Type="http://schemas.openxmlformats.org/officeDocument/2006/relationships/image" Target="media/image15.png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image" Target="media/image9.png"/><Relationship Id="rId25" Type="http://schemas.openxmlformats.org/officeDocument/2006/relationships/image" Target="media/image14.png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29" Type="http://schemas.openxmlformats.org/officeDocument/2006/relationships/image" Target="media/image18.png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5.png"/><Relationship Id="rId24" Type="http://schemas.openxmlformats.org/officeDocument/2006/relationships/image" Target="media/image13.png"/><Relationship Id="rId5" Type="http://schemas.openxmlformats.org/officeDocument/2006/relationships/image" Target="media/image1.png"/><Relationship Id="rId15" Type="http://schemas.openxmlformats.org/officeDocument/2006/relationships/image" Target="media/image8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0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image" Target="media/image16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1224</TotalTime>
  <Pages>8</Pages>
  <Words>445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Andrea Maia</dc:creator>
  <cp:keywords/>
  <dc:description/>
  <cp:lastModifiedBy>Cristiani Louize Bogo</cp:lastModifiedBy>
  <cp:revision>24</cp:revision>
  <dcterms:created xsi:type="dcterms:W3CDTF">2018-06-20T18:15:00Z</dcterms:created>
  <dcterms:modified xsi:type="dcterms:W3CDTF">2018-07-16T19:49:00Z</dcterms:modified>
</cp:coreProperties>
</file>